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A762" w14:textId="77777777" w:rsidR="002F17EA" w:rsidRDefault="002B7A50" w:rsidP="006952BC">
      <w:pPr>
        <w:ind w:left="360" w:right="720"/>
        <w:jc w:val="center"/>
        <w:rPr>
          <w:rFonts w:asciiTheme="majorHAnsi" w:eastAsia="Arial" w:hAnsiTheme="majorHAnsi" w:cstheme="majorHAnsi"/>
          <w:b/>
          <w:i/>
          <w:color w:val="FF0000"/>
          <w:sz w:val="28"/>
          <w:szCs w:val="28"/>
        </w:rPr>
      </w:pPr>
      <w:r>
        <w:rPr>
          <w:noProof/>
        </w:rPr>
        <w:drawing>
          <wp:anchor distT="0" distB="0" distL="114300" distR="114300" simplePos="0" relativeHeight="251659264" behindDoc="1" locked="0" layoutInCell="1" allowOverlap="1" wp14:anchorId="4FEB2AFE" wp14:editId="4D86DDE3">
            <wp:simplePos x="0" y="0"/>
            <wp:positionH relativeFrom="margin">
              <wp:posOffset>195212</wp:posOffset>
            </wp:positionH>
            <wp:positionV relativeFrom="paragraph">
              <wp:posOffset>-104140</wp:posOffset>
            </wp:positionV>
            <wp:extent cx="1920240" cy="813816"/>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Fulcrum_logo_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813816"/>
                    </a:xfrm>
                    <a:prstGeom prst="rect">
                      <a:avLst/>
                    </a:prstGeom>
                    <a:noFill/>
                  </pic:spPr>
                </pic:pic>
              </a:graphicData>
            </a:graphic>
            <wp14:sizeRelH relativeFrom="page">
              <wp14:pctWidth>0</wp14:pctWidth>
            </wp14:sizeRelH>
            <wp14:sizeRelV relativeFrom="page">
              <wp14:pctHeight>0</wp14:pctHeight>
            </wp14:sizeRelV>
          </wp:anchor>
        </w:drawing>
      </w:r>
    </w:p>
    <w:p w14:paraId="48675136" w14:textId="591548C1" w:rsidR="002F17EA" w:rsidRDefault="006952BC" w:rsidP="006952BC">
      <w:pPr>
        <w:tabs>
          <w:tab w:val="left" w:pos="2234"/>
        </w:tabs>
        <w:ind w:left="630"/>
        <w:rPr>
          <w:rFonts w:asciiTheme="majorHAnsi" w:eastAsia="Arial" w:hAnsiTheme="majorHAnsi" w:cstheme="majorHAnsi"/>
          <w:bCs/>
          <w:iCs/>
          <w:sz w:val="28"/>
          <w:szCs w:val="28"/>
        </w:rPr>
      </w:pPr>
      <w:r>
        <w:rPr>
          <w:rFonts w:asciiTheme="majorHAnsi" w:eastAsia="Arial" w:hAnsiTheme="majorHAnsi" w:cstheme="majorHAnsi"/>
          <w:bCs/>
          <w:iCs/>
          <w:sz w:val="28"/>
          <w:szCs w:val="28"/>
        </w:rPr>
        <w:tab/>
      </w:r>
    </w:p>
    <w:p w14:paraId="43E880F0" w14:textId="77777777" w:rsidR="001977DA" w:rsidRPr="001977DA" w:rsidRDefault="001977DA">
      <w:pPr>
        <w:jc w:val="right"/>
        <w:rPr>
          <w:rFonts w:asciiTheme="majorHAnsi" w:eastAsia="Arial" w:hAnsiTheme="majorHAnsi" w:cstheme="majorHAnsi"/>
          <w:b/>
        </w:rPr>
      </w:pPr>
    </w:p>
    <w:p w14:paraId="12997743" w14:textId="77777777" w:rsidR="006952BC" w:rsidRDefault="006952BC">
      <w:pPr>
        <w:jc w:val="right"/>
        <w:rPr>
          <w:rFonts w:asciiTheme="majorHAnsi" w:eastAsia="Arial" w:hAnsiTheme="majorHAnsi" w:cstheme="majorHAnsi"/>
          <w:b/>
          <w:sz w:val="28"/>
          <w:szCs w:val="28"/>
        </w:rPr>
      </w:pPr>
    </w:p>
    <w:p w14:paraId="1F84DC7C" w14:textId="1CDAD7E7" w:rsidR="002F17EA" w:rsidRDefault="002B7A50" w:rsidP="006952BC">
      <w:pPr>
        <w:ind w:right="180"/>
        <w:jc w:val="right"/>
        <w:rPr>
          <w:rFonts w:asciiTheme="majorHAnsi" w:eastAsia="Arial" w:hAnsiTheme="majorHAnsi" w:cstheme="majorHAnsi"/>
          <w:b/>
          <w:sz w:val="28"/>
          <w:szCs w:val="28"/>
        </w:rPr>
      </w:pPr>
      <w:r>
        <w:rPr>
          <w:rFonts w:asciiTheme="majorHAnsi" w:eastAsia="Arial" w:hAnsiTheme="majorHAnsi" w:cstheme="majorHAnsi"/>
          <w:b/>
          <w:sz w:val="28"/>
          <w:szCs w:val="28"/>
        </w:rPr>
        <w:t>NEWS RELEASE</w:t>
      </w:r>
    </w:p>
    <w:p w14:paraId="470B418F" w14:textId="77777777" w:rsidR="002F17EA" w:rsidRDefault="002F17EA">
      <w:pPr>
        <w:rPr>
          <w:rFonts w:asciiTheme="majorHAnsi" w:eastAsia="Arial" w:hAnsiTheme="majorHAnsi" w:cstheme="majorHAnsi"/>
          <w:b/>
          <w:color w:val="FF0000"/>
          <w:sz w:val="20"/>
          <w:szCs w:val="20"/>
        </w:rPr>
      </w:pPr>
    </w:p>
    <w:p w14:paraId="15DEF3DA" w14:textId="77777777" w:rsidR="002F17EA" w:rsidRDefault="002B7A50" w:rsidP="006952BC">
      <w:pPr>
        <w:widowControl w:val="0"/>
        <w:autoSpaceDE w:val="0"/>
        <w:autoSpaceDN w:val="0"/>
        <w:spacing w:before="120"/>
        <w:ind w:left="540" w:hanging="360"/>
        <w:jc w:val="center"/>
        <w:rPr>
          <w:rFonts w:ascii="Calibri" w:eastAsia="Calibri" w:hAnsi="Calibri"/>
          <w:b/>
          <w:bCs/>
          <w:sz w:val="28"/>
          <w:szCs w:val="28"/>
        </w:rPr>
      </w:pPr>
      <w:r>
        <w:rPr>
          <w:rFonts w:ascii="Calibri" w:eastAsia="Calibri" w:hAnsi="Calibri"/>
          <w:b/>
          <w:bCs/>
          <w:sz w:val="28"/>
          <w:szCs w:val="28"/>
        </w:rPr>
        <w:t>Fulcrum BioEnergy Completes $375 Million Offering of Indiana Finance Authority Environmental Improvement Revenue Bonds</w:t>
      </w:r>
    </w:p>
    <w:p w14:paraId="07AE7C4E" w14:textId="67AFF521" w:rsidR="002F17EA" w:rsidRDefault="0085261C" w:rsidP="00E05051">
      <w:pPr>
        <w:widowControl w:val="0"/>
        <w:autoSpaceDE w:val="0"/>
        <w:autoSpaceDN w:val="0"/>
        <w:spacing w:before="120"/>
        <w:ind w:left="540" w:right="180" w:hanging="270"/>
        <w:jc w:val="center"/>
        <w:rPr>
          <w:rFonts w:ascii="Calibri" w:eastAsia="Calibri" w:hAnsi="Calibri"/>
          <w:b/>
          <w:bCs/>
          <w:i/>
          <w:iCs/>
        </w:rPr>
      </w:pPr>
      <w:r>
        <w:rPr>
          <w:rFonts w:ascii="Calibri" w:eastAsia="Calibri" w:hAnsi="Calibri"/>
          <w:b/>
          <w:bCs/>
          <w:i/>
          <w:iCs/>
        </w:rPr>
        <w:t>R</w:t>
      </w:r>
      <w:r w:rsidR="002B7A50" w:rsidRPr="006952BC">
        <w:rPr>
          <w:rFonts w:ascii="Calibri" w:eastAsia="Calibri" w:hAnsi="Calibri"/>
          <w:b/>
          <w:bCs/>
          <w:i/>
          <w:iCs/>
        </w:rPr>
        <w:t xml:space="preserve">epresents a significant milestone </w:t>
      </w:r>
      <w:r>
        <w:rPr>
          <w:rFonts w:ascii="Calibri" w:eastAsia="Calibri" w:hAnsi="Calibri"/>
          <w:b/>
          <w:bCs/>
          <w:i/>
          <w:iCs/>
        </w:rPr>
        <w:t>for</w:t>
      </w:r>
      <w:r w:rsidR="002B7A50" w:rsidRPr="006952BC">
        <w:rPr>
          <w:rFonts w:ascii="Calibri" w:eastAsia="Calibri" w:hAnsi="Calibri"/>
          <w:b/>
          <w:bCs/>
          <w:i/>
          <w:iCs/>
        </w:rPr>
        <w:t xml:space="preserve"> Fulcrum’s second zero-carbon transportation fuels project</w:t>
      </w:r>
    </w:p>
    <w:p w14:paraId="645BF091" w14:textId="77777777" w:rsidR="00E05051" w:rsidRPr="006952BC" w:rsidRDefault="00E05051" w:rsidP="00E05051">
      <w:pPr>
        <w:widowControl w:val="0"/>
        <w:autoSpaceDE w:val="0"/>
        <w:autoSpaceDN w:val="0"/>
        <w:spacing w:before="120"/>
        <w:ind w:left="540" w:hanging="360"/>
        <w:jc w:val="center"/>
        <w:rPr>
          <w:rFonts w:ascii="Calibri" w:eastAsia="Calibri" w:hAnsi="Calibri"/>
          <w:b/>
          <w:bCs/>
          <w:i/>
          <w:iCs/>
        </w:rPr>
      </w:pPr>
    </w:p>
    <w:p w14:paraId="4BE376C8" w14:textId="7373338E" w:rsidR="002F17EA" w:rsidRPr="006952BC" w:rsidRDefault="002B7A50" w:rsidP="006952BC">
      <w:pPr>
        <w:widowControl w:val="0"/>
        <w:autoSpaceDE w:val="0"/>
        <w:autoSpaceDN w:val="0"/>
        <w:ind w:left="360" w:right="180"/>
        <w:jc w:val="both"/>
        <w:rPr>
          <w:rFonts w:ascii="Calibri" w:eastAsia="Calibri" w:hAnsi="Calibri"/>
        </w:rPr>
      </w:pPr>
      <w:r w:rsidRPr="006952BC">
        <w:rPr>
          <w:rFonts w:ascii="Calibri" w:eastAsia="Calibri" w:hAnsi="Calibri"/>
          <w:b/>
          <w:bCs/>
        </w:rPr>
        <w:t xml:space="preserve">PLEASANTON, Calif., December </w:t>
      </w:r>
      <w:r w:rsidR="00B923C3" w:rsidRPr="00524BCC">
        <w:rPr>
          <w:rFonts w:ascii="Calibri" w:eastAsia="Calibri" w:hAnsi="Calibri"/>
          <w:b/>
          <w:bCs/>
        </w:rPr>
        <w:t>20</w:t>
      </w:r>
      <w:r w:rsidRPr="00524BCC">
        <w:rPr>
          <w:rFonts w:ascii="Calibri" w:eastAsia="Calibri" w:hAnsi="Calibri"/>
          <w:b/>
          <w:bCs/>
        </w:rPr>
        <w:t>,</w:t>
      </w:r>
      <w:r w:rsidRPr="006952BC">
        <w:rPr>
          <w:rFonts w:ascii="Calibri" w:eastAsia="Calibri" w:hAnsi="Calibri"/>
          <w:b/>
          <w:bCs/>
        </w:rPr>
        <w:t xml:space="preserve"> 2021</w:t>
      </w:r>
      <w:r w:rsidRPr="006952BC">
        <w:rPr>
          <w:rFonts w:ascii="Calibri" w:eastAsia="Calibri" w:hAnsi="Calibri"/>
        </w:rPr>
        <w:t xml:space="preserve"> - </w:t>
      </w:r>
      <w:hyperlink r:id="rId7">
        <w:r w:rsidRPr="006952BC">
          <w:rPr>
            <w:rFonts w:ascii="Calibri" w:eastAsia="Arial" w:hAnsi="Calibri" w:cs="Calibri"/>
            <w:color w:val="1155CC"/>
            <w:u w:val="single"/>
          </w:rPr>
          <w:t>Fulcrum BioEnergy, Inc.</w:t>
        </w:r>
      </w:hyperlink>
      <w:r w:rsidRPr="006952BC">
        <w:rPr>
          <w:rFonts w:ascii="Calibri" w:eastAsia="Calibri" w:hAnsi="Calibri"/>
        </w:rPr>
        <w:t xml:space="preserve">, a pioneer in the production of low-carbon </w:t>
      </w:r>
      <w:r w:rsidR="0085261C">
        <w:rPr>
          <w:rFonts w:ascii="Calibri" w:eastAsia="Calibri" w:hAnsi="Calibri"/>
        </w:rPr>
        <w:t xml:space="preserve">transportation </w:t>
      </w:r>
      <w:r w:rsidRPr="006952BC">
        <w:rPr>
          <w:rFonts w:ascii="Calibri" w:eastAsia="Calibri" w:hAnsi="Calibri"/>
        </w:rPr>
        <w:t>fuels, announced today the completion of an interim financing to fund Fulcrum’s second waste</w:t>
      </w:r>
      <w:r w:rsidR="000850A9">
        <w:rPr>
          <w:rFonts w:ascii="Calibri" w:eastAsia="Calibri" w:hAnsi="Calibri"/>
        </w:rPr>
        <w:t>-</w:t>
      </w:r>
      <w:r w:rsidRPr="006952BC">
        <w:rPr>
          <w:rFonts w:ascii="Calibri" w:eastAsia="Calibri" w:hAnsi="Calibri"/>
        </w:rPr>
        <w:t>to</w:t>
      </w:r>
      <w:r w:rsidR="000850A9">
        <w:rPr>
          <w:rFonts w:ascii="Calibri" w:eastAsia="Calibri" w:hAnsi="Calibri"/>
        </w:rPr>
        <w:t>-</w:t>
      </w:r>
      <w:r w:rsidRPr="006952BC">
        <w:rPr>
          <w:rFonts w:ascii="Calibri" w:eastAsia="Calibri" w:hAnsi="Calibri"/>
        </w:rPr>
        <w:t xml:space="preserve">fuels project, culminating in the issuance by the Indiana Finance Authority of $375 million of Environmental Improvement Revenue Bonds (Bonds) through Fulcrum’s wholly owned subsidiary Fulcrum Centerpoint, LLC (Centerpoint). Proceeds from the offering will be held in escrow with </w:t>
      </w:r>
      <w:r w:rsidR="00B923C3" w:rsidRPr="006952BC">
        <w:rPr>
          <w:rFonts w:ascii="Calibri" w:eastAsia="Calibri" w:hAnsi="Calibri"/>
        </w:rPr>
        <w:t>t</w:t>
      </w:r>
      <w:r w:rsidRPr="006952BC">
        <w:rPr>
          <w:rFonts w:ascii="Calibri" w:eastAsia="Calibri" w:hAnsi="Calibri"/>
        </w:rPr>
        <w:t xml:space="preserve">he </w:t>
      </w:r>
      <w:r w:rsidR="00B923C3" w:rsidRPr="006952BC">
        <w:rPr>
          <w:rFonts w:ascii="Calibri" w:eastAsia="Calibri" w:hAnsi="Calibri"/>
        </w:rPr>
        <w:t>B</w:t>
      </w:r>
      <w:r w:rsidRPr="006952BC">
        <w:rPr>
          <w:rFonts w:ascii="Calibri" w:eastAsia="Calibri" w:hAnsi="Calibri"/>
        </w:rPr>
        <w:t xml:space="preserve">onds subject to </w:t>
      </w:r>
      <w:r w:rsidR="0085261C">
        <w:rPr>
          <w:rFonts w:ascii="Calibri" w:eastAsia="Calibri" w:hAnsi="Calibri"/>
        </w:rPr>
        <w:t xml:space="preserve">a </w:t>
      </w:r>
      <w:r w:rsidRPr="006952BC">
        <w:rPr>
          <w:rFonts w:ascii="Calibri" w:eastAsia="Calibri" w:hAnsi="Calibri"/>
        </w:rPr>
        <w:t xml:space="preserve">mandatory tender for purchase on November 15, 2022. Fulcrum expects to refinance the bonds on or before November 15, 2022. The transaction was led by Morgan Stanley and Goldman Sachs &amp; Co. LLC.  </w:t>
      </w:r>
    </w:p>
    <w:p w14:paraId="7050A434" w14:textId="393F5487" w:rsidR="002F17EA" w:rsidRPr="006952BC" w:rsidRDefault="002B7A50" w:rsidP="006952BC">
      <w:pPr>
        <w:widowControl w:val="0"/>
        <w:autoSpaceDE w:val="0"/>
        <w:autoSpaceDN w:val="0"/>
        <w:spacing w:before="240"/>
        <w:ind w:left="360" w:right="187"/>
        <w:jc w:val="both"/>
        <w:rPr>
          <w:rFonts w:ascii="Calibri" w:eastAsia="Calibri" w:hAnsi="Calibri"/>
        </w:rPr>
      </w:pPr>
      <w:r w:rsidRPr="006952BC">
        <w:rPr>
          <w:rFonts w:ascii="Calibri" w:eastAsia="Calibri" w:hAnsi="Calibri"/>
        </w:rPr>
        <w:t>“We are pleased to take this next step in accelerating our growth trajectory with this financing,” said Fulcrum</w:t>
      </w:r>
      <w:r w:rsidR="00B923C3" w:rsidRPr="006952BC">
        <w:rPr>
          <w:rFonts w:ascii="Calibri" w:eastAsia="Calibri" w:hAnsi="Calibri"/>
        </w:rPr>
        <w:t>’s</w:t>
      </w:r>
      <w:r w:rsidRPr="006952BC">
        <w:rPr>
          <w:rFonts w:ascii="Calibri" w:eastAsia="Calibri" w:hAnsi="Calibri"/>
        </w:rPr>
        <w:t xml:space="preserve"> President and Chief Executive Officer</w:t>
      </w:r>
      <w:r w:rsidR="00B923C3" w:rsidRPr="006952BC">
        <w:rPr>
          <w:rFonts w:ascii="Calibri" w:eastAsia="Calibri" w:hAnsi="Calibri"/>
        </w:rPr>
        <w:t xml:space="preserve">, </w:t>
      </w:r>
      <w:r w:rsidRPr="006952BC">
        <w:rPr>
          <w:rFonts w:ascii="Calibri" w:eastAsia="Calibri" w:hAnsi="Calibri"/>
        </w:rPr>
        <w:t>Eric Pryor. “Fulcrum was awarded $500 million in volume cap by the Indiana Finance Authority to help fund a portion of the Centerpoint BioFuels Plant, the Company’s second waste to zero-carbon fuel</w:t>
      </w:r>
      <w:r w:rsidR="00B923C3" w:rsidRPr="006952BC">
        <w:rPr>
          <w:rFonts w:ascii="Calibri" w:eastAsia="Calibri" w:hAnsi="Calibri"/>
        </w:rPr>
        <w:t>s</w:t>
      </w:r>
      <w:r w:rsidRPr="006952BC">
        <w:rPr>
          <w:rFonts w:ascii="Calibri" w:eastAsia="Calibri" w:hAnsi="Calibri"/>
        </w:rPr>
        <w:t xml:space="preserve"> project. This interim financing provides the Company with ample time in 2022 to finalize engineering and obtain the necessary permits and authorizations to launch our next zero-carbon project.</w:t>
      </w:r>
      <w:r w:rsidR="0085261C">
        <w:rPr>
          <w:rFonts w:ascii="Calibri" w:eastAsia="Calibri" w:hAnsi="Calibri"/>
        </w:rPr>
        <w:t>”</w:t>
      </w:r>
      <w:r w:rsidRPr="006952BC">
        <w:rPr>
          <w:rFonts w:ascii="Calibri" w:eastAsia="Calibri" w:hAnsi="Calibri"/>
        </w:rPr>
        <w:t xml:space="preserve"> </w:t>
      </w:r>
    </w:p>
    <w:p w14:paraId="50824377" w14:textId="15C0AE10" w:rsidR="00B923C3" w:rsidRPr="006952BC" w:rsidRDefault="002B7A50" w:rsidP="006952BC">
      <w:pPr>
        <w:widowControl w:val="0"/>
        <w:autoSpaceDE w:val="0"/>
        <w:autoSpaceDN w:val="0"/>
        <w:spacing w:before="240"/>
        <w:ind w:left="360" w:right="187"/>
        <w:jc w:val="both"/>
        <w:rPr>
          <w:rFonts w:ascii="Calibri" w:eastAsia="Calibri" w:hAnsi="Calibri"/>
        </w:rPr>
      </w:pPr>
      <w:r w:rsidRPr="006952BC">
        <w:rPr>
          <w:rFonts w:ascii="Calibri" w:eastAsia="Calibri" w:hAnsi="Calibri"/>
        </w:rPr>
        <w:t xml:space="preserve">The Bonds are an obligation solely of Centerpoint and </w:t>
      </w:r>
      <w:r w:rsidR="0085261C">
        <w:rPr>
          <w:rFonts w:ascii="Calibri" w:eastAsia="Calibri" w:hAnsi="Calibri"/>
        </w:rPr>
        <w:t xml:space="preserve">are </w:t>
      </w:r>
      <w:r w:rsidRPr="006952BC">
        <w:rPr>
          <w:rFonts w:ascii="Calibri" w:eastAsia="Calibri" w:hAnsi="Calibri"/>
        </w:rPr>
        <w:t xml:space="preserve">not a debt, liability or obligation of the Indiana Finance Authority or the State of Indiana, however, as a result of the volume cap award, the Bonds will bear interest at a tax-exempt rate.  </w:t>
      </w:r>
    </w:p>
    <w:p w14:paraId="1C220DAC" w14:textId="69A2A87B" w:rsidR="002F17EA" w:rsidRPr="006952BC" w:rsidRDefault="002B7A50" w:rsidP="006952BC">
      <w:pPr>
        <w:widowControl w:val="0"/>
        <w:autoSpaceDE w:val="0"/>
        <w:autoSpaceDN w:val="0"/>
        <w:spacing w:before="240"/>
        <w:ind w:left="360" w:right="187"/>
        <w:jc w:val="both"/>
        <w:rPr>
          <w:rFonts w:ascii="Calibri" w:eastAsia="Calibri" w:hAnsi="Calibri" w:cs="Calibri"/>
          <w:color w:val="222222"/>
        </w:rPr>
      </w:pPr>
      <w:r w:rsidRPr="006952BC">
        <w:rPr>
          <w:rFonts w:ascii="Calibri" w:eastAsia="Calibri" w:hAnsi="Calibri" w:cs="Calibri"/>
          <w:color w:val="222222"/>
        </w:rPr>
        <w:t xml:space="preserve">The Centerpoint BioFuels Plant will be located in Gary, Ind. with waste feedstock sourced from the greater Chicago and northern Indiana areas. Fulcrum has secured the biorefinery site, completed initial engineering and has submitted </w:t>
      </w:r>
      <w:r w:rsidR="001977DA" w:rsidRPr="006952BC">
        <w:rPr>
          <w:rFonts w:ascii="Calibri" w:eastAsia="Calibri" w:hAnsi="Calibri" w:cs="Calibri"/>
          <w:color w:val="222222"/>
        </w:rPr>
        <w:t xml:space="preserve">the air </w:t>
      </w:r>
      <w:r w:rsidRPr="006952BC">
        <w:rPr>
          <w:rFonts w:ascii="Calibri" w:eastAsia="Calibri" w:hAnsi="Calibri" w:cs="Calibri"/>
          <w:color w:val="222222"/>
        </w:rPr>
        <w:t>permit for the project, which will have the capacity to produce approximately 3</w:t>
      </w:r>
      <w:r w:rsidR="00795D3E">
        <w:rPr>
          <w:rFonts w:ascii="Calibri" w:eastAsia="Calibri" w:hAnsi="Calibri" w:cs="Calibri"/>
          <w:color w:val="222222"/>
        </w:rPr>
        <w:t>1</w:t>
      </w:r>
      <w:r w:rsidRPr="006952BC">
        <w:rPr>
          <w:rFonts w:ascii="Calibri" w:eastAsia="Calibri" w:hAnsi="Calibri" w:cs="Calibri"/>
          <w:color w:val="222222"/>
        </w:rPr>
        <w:t xml:space="preserve"> million gallons of drop-in transportation fuel annually. Construction is currently targeted to begin in 2023.</w:t>
      </w:r>
    </w:p>
    <w:p w14:paraId="61734491" w14:textId="77777777" w:rsidR="002F17EA" w:rsidRPr="006952BC" w:rsidRDefault="002B7A50" w:rsidP="006952BC">
      <w:pPr>
        <w:widowControl w:val="0"/>
        <w:autoSpaceDE w:val="0"/>
        <w:autoSpaceDN w:val="0"/>
        <w:spacing w:before="240"/>
        <w:ind w:left="360" w:right="187"/>
        <w:jc w:val="both"/>
        <w:rPr>
          <w:rFonts w:ascii="Calibri" w:eastAsia="Calibri" w:hAnsi="Calibri"/>
        </w:rPr>
      </w:pPr>
      <w:r w:rsidRPr="006952BC">
        <w:rPr>
          <w:rFonts w:ascii="Calibri" w:eastAsia="Calibri" w:hAnsi="Calibri"/>
          <w:b/>
          <w:bCs/>
        </w:rPr>
        <w:t>About Fulcrum</w:t>
      </w:r>
      <w:r w:rsidRPr="006952BC">
        <w:rPr>
          <w:rFonts w:ascii="Calibri" w:eastAsia="Calibri" w:hAnsi="Calibri"/>
        </w:rPr>
        <w:t xml:space="preserve"> </w:t>
      </w:r>
    </w:p>
    <w:p w14:paraId="1E1A5AA6" w14:textId="00F34DF9" w:rsidR="002F17EA" w:rsidRPr="006952BC" w:rsidRDefault="002B7A50" w:rsidP="006952BC">
      <w:pPr>
        <w:widowControl w:val="0"/>
        <w:autoSpaceDE w:val="0"/>
        <w:autoSpaceDN w:val="0"/>
        <w:spacing w:before="120"/>
        <w:ind w:left="360" w:right="187"/>
        <w:jc w:val="both"/>
        <w:rPr>
          <w:rFonts w:ascii="Calibri" w:eastAsia="Calibri" w:hAnsi="Calibri"/>
        </w:rPr>
      </w:pPr>
      <w:r w:rsidRPr="006952BC">
        <w:rPr>
          <w:rFonts w:ascii="Calibri" w:eastAsia="Calibri" w:hAnsi="Calibri"/>
        </w:rPr>
        <w:t xml:space="preserve">Based in Pleasanton, California, Fulcrum is leading the development of a reliable and efficient process for transforming waste into zero-carbon transportation fuels including sustainable aviation fuel and diesel. The Company’s innovative process utilizing household garbage as a feedstock will reduce greenhouse gases by more than 100% on a lifecycle basis, contributing to the aviation and </w:t>
      </w:r>
      <w:r w:rsidRPr="006952BC">
        <w:rPr>
          <w:rFonts w:ascii="Calibri" w:eastAsia="Calibri" w:hAnsi="Calibri"/>
        </w:rPr>
        <w:lastRenderedPageBreak/>
        <w:t xml:space="preserve">transportation sectors goals of reducing carbon emissions. Beginning with the Sierra BioFuels Plant, which will begin fuel production in the first quarter of 2022, Fulcrum’s plants will provide customers with low-carbon drop-in fuel that is competitively priced with traditional petroleum fuel. Fulcrum, a privately held company, has aligned itself with strategic feedstock, technology and fuel offtake partners to further strengthen and accelerate the Company's patented and proprietary approach to commercially producing large volumes of renewable fuel from municipal solid waste. For more information, please visit </w:t>
      </w:r>
      <w:hyperlink r:id="rId8" w:history="1">
        <w:r w:rsidRPr="006952BC">
          <w:rPr>
            <w:rFonts w:ascii="Calibri" w:eastAsia="Calibri" w:hAnsi="Calibri"/>
            <w:color w:val="0000FF"/>
            <w:u w:val="single"/>
          </w:rPr>
          <w:t>www.fulcrum-bioenergy.com</w:t>
        </w:r>
      </w:hyperlink>
      <w:r w:rsidRPr="006952BC">
        <w:rPr>
          <w:rFonts w:ascii="Calibri" w:eastAsia="Calibri" w:hAnsi="Calibri"/>
        </w:rPr>
        <w:t xml:space="preserve">.  </w:t>
      </w:r>
    </w:p>
    <w:p w14:paraId="74146253" w14:textId="77777777" w:rsidR="002F17EA" w:rsidRPr="006952BC" w:rsidRDefault="002F17EA" w:rsidP="006952BC">
      <w:pPr>
        <w:widowControl w:val="0"/>
        <w:autoSpaceDE w:val="0"/>
        <w:autoSpaceDN w:val="0"/>
        <w:ind w:left="360" w:right="180"/>
        <w:rPr>
          <w:rFonts w:ascii="Calibri" w:eastAsia="Calibri" w:hAnsi="Calibri"/>
        </w:rPr>
      </w:pPr>
    </w:p>
    <w:p w14:paraId="53DA837E" w14:textId="77777777" w:rsidR="006952BC" w:rsidRDefault="006952BC" w:rsidP="006952BC">
      <w:pPr>
        <w:widowControl w:val="0"/>
        <w:autoSpaceDE w:val="0"/>
        <w:autoSpaceDN w:val="0"/>
        <w:ind w:left="360" w:right="180"/>
        <w:rPr>
          <w:rFonts w:ascii="Calibri" w:eastAsia="Calibri" w:hAnsi="Calibri"/>
          <w:b/>
          <w:bCs/>
        </w:rPr>
      </w:pPr>
    </w:p>
    <w:p w14:paraId="4D0D0A0E" w14:textId="1DC2C3B4" w:rsidR="002F17EA" w:rsidRPr="006952BC" w:rsidRDefault="002B7A50" w:rsidP="006952BC">
      <w:pPr>
        <w:widowControl w:val="0"/>
        <w:autoSpaceDE w:val="0"/>
        <w:autoSpaceDN w:val="0"/>
        <w:ind w:left="360" w:right="180"/>
        <w:rPr>
          <w:rFonts w:ascii="Calibri" w:eastAsia="Calibri" w:hAnsi="Calibri"/>
          <w:b/>
          <w:bCs/>
        </w:rPr>
      </w:pPr>
      <w:r w:rsidRPr="006952BC">
        <w:rPr>
          <w:rFonts w:ascii="Calibri" w:eastAsia="Calibri" w:hAnsi="Calibri"/>
          <w:b/>
          <w:bCs/>
        </w:rPr>
        <w:t xml:space="preserve">Contact </w:t>
      </w:r>
    </w:p>
    <w:p w14:paraId="08479754" w14:textId="77777777" w:rsidR="002F17EA" w:rsidRPr="006952BC" w:rsidRDefault="002B7A50" w:rsidP="006952BC">
      <w:pPr>
        <w:widowControl w:val="0"/>
        <w:autoSpaceDE w:val="0"/>
        <w:autoSpaceDN w:val="0"/>
        <w:ind w:left="360" w:right="180"/>
        <w:rPr>
          <w:rFonts w:ascii="Calibri" w:eastAsia="Calibri" w:hAnsi="Calibri"/>
        </w:rPr>
      </w:pPr>
      <w:r w:rsidRPr="006952BC">
        <w:rPr>
          <w:rFonts w:ascii="Calibri" w:eastAsia="Calibri" w:hAnsi="Calibri"/>
        </w:rPr>
        <w:t xml:space="preserve">Rick Barraza </w:t>
      </w:r>
    </w:p>
    <w:p w14:paraId="3D8515A2" w14:textId="77777777" w:rsidR="002F17EA" w:rsidRPr="006952BC" w:rsidRDefault="002B7A50" w:rsidP="006952BC">
      <w:pPr>
        <w:widowControl w:val="0"/>
        <w:autoSpaceDE w:val="0"/>
        <w:autoSpaceDN w:val="0"/>
        <w:ind w:left="360" w:right="180"/>
        <w:rPr>
          <w:rFonts w:ascii="Calibri" w:eastAsia="Calibri" w:hAnsi="Calibri"/>
        </w:rPr>
      </w:pPr>
      <w:r w:rsidRPr="006952BC">
        <w:rPr>
          <w:rFonts w:ascii="Calibri" w:eastAsia="Calibri" w:hAnsi="Calibri"/>
        </w:rPr>
        <w:t xml:space="preserve">Vice President </w:t>
      </w:r>
    </w:p>
    <w:p w14:paraId="1CEDA19A" w14:textId="77777777" w:rsidR="001977DA" w:rsidRPr="006952BC" w:rsidRDefault="00626984" w:rsidP="006952BC">
      <w:pPr>
        <w:ind w:left="360" w:right="180"/>
        <w:rPr>
          <w:rFonts w:ascii="Calibri" w:eastAsia="Calibri" w:hAnsi="Calibri"/>
          <w:color w:val="0000FF"/>
          <w:u w:val="single"/>
        </w:rPr>
      </w:pPr>
      <w:hyperlink r:id="rId9" w:history="1">
        <w:r w:rsidR="002B7A50" w:rsidRPr="006952BC">
          <w:rPr>
            <w:rFonts w:ascii="Calibri" w:eastAsia="Calibri" w:hAnsi="Calibri"/>
            <w:color w:val="0000FF"/>
            <w:u w:val="single"/>
          </w:rPr>
          <w:t>rbarraza@fulcrum-bioenergy.com</w:t>
        </w:r>
      </w:hyperlink>
      <w:bookmarkStart w:id="0" w:name="_heading=h.gjdgxs" w:colFirst="0" w:colLast="0"/>
      <w:bookmarkEnd w:id="0"/>
    </w:p>
    <w:p w14:paraId="213736F7" w14:textId="77777777" w:rsidR="00E05051" w:rsidRDefault="00E05051" w:rsidP="006952BC">
      <w:pPr>
        <w:ind w:left="540" w:right="180"/>
        <w:jc w:val="center"/>
        <w:rPr>
          <w:rFonts w:asciiTheme="majorHAnsi" w:eastAsia="Arial" w:hAnsiTheme="majorHAnsi" w:cstheme="majorHAnsi"/>
        </w:rPr>
      </w:pPr>
    </w:p>
    <w:p w14:paraId="0065AE55" w14:textId="77777777" w:rsidR="00E05051" w:rsidRDefault="00E05051" w:rsidP="006952BC">
      <w:pPr>
        <w:ind w:left="540" w:right="180"/>
        <w:jc w:val="center"/>
        <w:rPr>
          <w:rFonts w:asciiTheme="majorHAnsi" w:eastAsia="Arial" w:hAnsiTheme="majorHAnsi" w:cstheme="majorHAnsi"/>
        </w:rPr>
      </w:pPr>
    </w:p>
    <w:p w14:paraId="30CD52B8" w14:textId="5E4461B8" w:rsidR="002F17EA" w:rsidRPr="006952BC" w:rsidRDefault="002B7A50" w:rsidP="006952BC">
      <w:pPr>
        <w:ind w:left="540" w:right="180"/>
        <w:jc w:val="center"/>
        <w:rPr>
          <w:rFonts w:asciiTheme="majorHAnsi" w:eastAsia="Arial" w:hAnsiTheme="majorHAnsi" w:cstheme="majorHAnsi"/>
        </w:rPr>
      </w:pPr>
      <w:r w:rsidRPr="006952BC">
        <w:rPr>
          <w:rFonts w:asciiTheme="majorHAnsi" w:eastAsia="Arial" w:hAnsiTheme="majorHAnsi" w:cstheme="majorHAnsi"/>
        </w:rPr>
        <w:t>###</w:t>
      </w:r>
    </w:p>
    <w:p w14:paraId="036F5A32" w14:textId="77777777" w:rsidR="006952BC" w:rsidRPr="006952BC" w:rsidRDefault="006952BC">
      <w:pPr>
        <w:ind w:left="540" w:right="180"/>
        <w:jc w:val="center"/>
        <w:rPr>
          <w:rFonts w:asciiTheme="majorHAnsi" w:eastAsia="Arial" w:hAnsiTheme="majorHAnsi" w:cstheme="majorHAnsi"/>
        </w:rPr>
      </w:pPr>
    </w:p>
    <w:sectPr w:rsidR="006952BC" w:rsidRPr="006952BC" w:rsidSect="002B7A50">
      <w:footerReference w:type="first" r:id="rId10"/>
      <w:pgSz w:w="12240" w:h="15840"/>
      <w:pgMar w:top="1350" w:right="1170" w:bottom="1890" w:left="990" w:header="720" w:footer="10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C9CF" w14:textId="77777777" w:rsidR="00626984" w:rsidRDefault="00626984">
      <w:r>
        <w:separator/>
      </w:r>
    </w:p>
  </w:endnote>
  <w:endnote w:type="continuationSeparator" w:id="0">
    <w:p w14:paraId="48AB50F2" w14:textId="77777777" w:rsidR="00626984" w:rsidRDefault="0062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F702" w14:textId="6ABAE4D2" w:rsidR="002B7A50" w:rsidRDefault="006952BC">
    <w:pPr>
      <w:pStyle w:val="Footer"/>
      <w:rPr>
        <w:rFonts w:asciiTheme="majorHAnsi" w:hAnsiTheme="majorHAnsi" w:cstheme="majorHAnsi"/>
      </w:rPr>
    </w:pPr>
    <w:r>
      <w:ptab w:relativeTo="margin" w:alignment="center" w:leader="none"/>
    </w:r>
    <w:r w:rsidRPr="006952BC">
      <w:rPr>
        <w:rFonts w:asciiTheme="majorHAnsi" w:hAnsiTheme="majorHAnsi" w:cstheme="majorHAnsi"/>
      </w:rPr>
      <w:t xml:space="preserve">-- more </w:t>
    </w:r>
    <w:r w:rsidR="002B7A50">
      <w:rPr>
        <w:rFonts w:asciiTheme="majorHAnsi" w:hAnsiTheme="majorHAnsi" w:cstheme="majorHAnsi"/>
      </w:rPr>
      <w:t>–</w:t>
    </w:r>
  </w:p>
  <w:p w14:paraId="280D4AC6" w14:textId="0AEC8F95" w:rsidR="006952BC" w:rsidRDefault="006952BC">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2540" w14:textId="77777777" w:rsidR="00626984" w:rsidRDefault="00626984">
      <w:r>
        <w:separator/>
      </w:r>
    </w:p>
  </w:footnote>
  <w:footnote w:type="continuationSeparator" w:id="0">
    <w:p w14:paraId="3FBD1687" w14:textId="77777777" w:rsidR="00626984" w:rsidRDefault="0062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EA"/>
    <w:rsid w:val="000850A9"/>
    <w:rsid w:val="001977DA"/>
    <w:rsid w:val="002B7A50"/>
    <w:rsid w:val="002F17EA"/>
    <w:rsid w:val="003877C3"/>
    <w:rsid w:val="00524BCC"/>
    <w:rsid w:val="00626984"/>
    <w:rsid w:val="006952BC"/>
    <w:rsid w:val="00795D3E"/>
    <w:rsid w:val="0085261C"/>
    <w:rsid w:val="00B923C3"/>
    <w:rsid w:val="00E0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08D20"/>
  <w15:docId w15:val="{A4789BE6-F3CE-42BD-B479-477B427B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eastAsia="Calibri"/>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styleId="FollowedHyperlink">
    <w:name w:val="FollowedHyperlink"/>
    <w:rPr>
      <w:color w:val="800080"/>
      <w:u w:val="single"/>
    </w:rPr>
  </w:style>
  <w:style w:type="paragraph" w:styleId="Revision">
    <w:name w:val="Revision"/>
    <w:hidden/>
    <w:uiPriority w:val="99"/>
    <w:semiHidden/>
  </w:style>
  <w:style w:type="character" w:styleId="CommentReference">
    <w:name w:val="annotation reference"/>
    <w:basedOn w:val="DefaultParagraphFont"/>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b/>
      <w:bCs/>
      <w:sz w:val="24"/>
      <w:szCs w:val="24"/>
    </w:rPr>
  </w:style>
  <w:style w:type="paragraph" w:customStyle="1" w:styleId="Default">
    <w:name w:val="Default"/>
    <w:pPr>
      <w:autoSpaceDE w:val="0"/>
      <w:autoSpaceDN w:val="0"/>
      <w:adjustRightInd w:val="0"/>
    </w:pPr>
    <w:rPr>
      <w:rFonts w:ascii="Calibri" w:hAnsi="Calibri" w:cs="Calibri"/>
      <w:color w:val="000000"/>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lcrum-bioenergy.com" TargetMode="External"/><Relationship Id="rId3" Type="http://schemas.openxmlformats.org/officeDocument/2006/relationships/webSettings" Target="webSettings.xml"/><Relationship Id="rId7" Type="http://schemas.openxmlformats.org/officeDocument/2006/relationships/hyperlink" Target="http://fulcrum-bioenerg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barraza@fulcrum-bio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Barraza</dc:creator>
  <cp:lastModifiedBy>Jaime Quick</cp:lastModifiedBy>
  <cp:revision>2</cp:revision>
  <cp:lastPrinted>2021-12-15T21:53:00Z</cp:lastPrinted>
  <dcterms:created xsi:type="dcterms:W3CDTF">2022-03-08T18:18:00Z</dcterms:created>
  <dcterms:modified xsi:type="dcterms:W3CDTF">2022-03-08T18:18:00Z</dcterms:modified>
</cp:coreProperties>
</file>